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1B7FB6" w14:textId="1FA29936" w:rsidR="00516E92" w:rsidRDefault="00000000">
      <w:pPr>
        <w:spacing w:after="20"/>
      </w:pP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Phase I H</w:t>
      </w:r>
      <w:r w:rsidR="004A50D0">
        <w:rPr>
          <w:rFonts w:ascii="Calibri" w:eastAsia="Calibri" w:hAnsi="Calibri" w:cs="Calibri"/>
          <w:b/>
          <w:bCs/>
          <w:color w:val="1F3864"/>
          <w:sz w:val="30"/>
          <w:szCs w:val="30"/>
        </w:rPr>
        <w:t xml:space="preserve">igh-Dose-Rate Half </w:t>
      </w: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B</w:t>
      </w:r>
      <w:r w:rsidR="004A50D0">
        <w:rPr>
          <w:rFonts w:ascii="Calibri" w:eastAsia="Calibri" w:hAnsi="Calibri" w:cs="Calibri"/>
          <w:b/>
          <w:bCs/>
          <w:color w:val="1F3864"/>
          <w:sz w:val="30"/>
          <w:szCs w:val="30"/>
        </w:rPr>
        <w:t xml:space="preserve">ody </w:t>
      </w: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R</w:t>
      </w:r>
      <w:r w:rsidR="004A50D0">
        <w:rPr>
          <w:rFonts w:ascii="Calibri" w:eastAsia="Calibri" w:hAnsi="Calibri" w:cs="Calibri"/>
          <w:b/>
          <w:bCs/>
          <w:color w:val="1F3864"/>
          <w:sz w:val="30"/>
          <w:szCs w:val="30"/>
        </w:rPr>
        <w:t xml:space="preserve">adiotherapy </w:t>
      </w:r>
      <w:r>
        <w:rPr>
          <w:rFonts w:ascii="Calibri" w:eastAsia="Calibri" w:hAnsi="Calibri" w:cs="Calibri"/>
          <w:b/>
          <w:bCs/>
          <w:color w:val="1F3864"/>
          <w:sz w:val="30"/>
          <w:szCs w:val="30"/>
        </w:rPr>
        <w:t>Trial for Canine Multicentric Lymphoma</w:t>
      </w:r>
    </w:p>
    <w:p w14:paraId="5CFF759B" w14:textId="75A5C5A0" w:rsidR="00516E92" w:rsidRDefault="00000000">
      <w:pPr>
        <w:spacing w:after="100"/>
      </w:pPr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 xml:space="preserve">Client &amp; Team Quick-Reference </w:t>
      </w:r>
      <w:proofErr w:type="gramStart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Sheet  |</w:t>
      </w:r>
      <w:proofErr w:type="gramEnd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 xml:space="preserve">  UW Veterinary Care Radiation </w:t>
      </w:r>
      <w:proofErr w:type="gramStart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Oncology  |</w:t>
      </w:r>
      <w:proofErr w:type="gramEnd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 xml:space="preserve">  PI: Dr. Michelle Turek </w:t>
      </w:r>
      <w:r w:rsidR="0071485C">
        <w:rPr>
          <w:rFonts w:ascii="Calibri" w:eastAsia="Calibri" w:hAnsi="Calibri" w:cs="Calibri"/>
          <w:i/>
          <w:iCs/>
          <w:color w:val="595959"/>
          <w:sz w:val="16"/>
          <w:szCs w:val="16"/>
        </w:rPr>
        <w:t xml:space="preserve">and Dr. Mackenzie Pellin </w:t>
      </w:r>
      <w:proofErr w:type="gramStart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•  Co</w:t>
      </w:r>
      <w:proofErr w:type="gramEnd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-I: Dr. Rey Chi</w:t>
      </w:r>
    </w:p>
    <w:p w14:paraId="4F4FAB53" w14:textId="77777777" w:rsidR="00516E92" w:rsidRDefault="00000000">
      <w:pPr>
        <w:pBdr>
          <w:bottom w:val="single" w:sz="6" w:space="2" w:color="1F3864"/>
        </w:pBdr>
        <w:spacing w:before="120" w:after="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STUDY OBJECTIVE</w:t>
      </w:r>
    </w:p>
    <w:p w14:paraId="7D289731" w14:textId="33C64013" w:rsidR="004A50D0" w:rsidRPr="004A50D0" w:rsidRDefault="00000000" w:rsidP="004A50D0">
      <w:pPr>
        <w:pStyle w:val="ListParagraph"/>
        <w:numPr>
          <w:ilvl w:val="0"/>
          <w:numId w:val="2"/>
        </w:numPr>
        <w:spacing w:after="80"/>
      </w:pPr>
      <w:r w:rsidRPr="004A50D0">
        <w:rPr>
          <w:rFonts w:ascii="Calibri" w:eastAsia="Calibri" w:hAnsi="Calibri" w:cs="Calibri"/>
          <w:color w:val="000000"/>
          <w:sz w:val="17"/>
          <w:szCs w:val="17"/>
        </w:rPr>
        <w:t>Determine whether high-dose-rate half-body radiotherapy (</w:t>
      </w:r>
      <w:r w:rsidR="004A50D0" w:rsidRPr="004A50D0">
        <w:rPr>
          <w:rFonts w:ascii="Calibri" w:eastAsia="Calibri" w:hAnsi="Calibri" w:cs="Calibri"/>
          <w:color w:val="000000"/>
          <w:sz w:val="17"/>
          <w:szCs w:val="17"/>
        </w:rPr>
        <w:t>HDR-</w:t>
      </w:r>
      <w:r w:rsidRPr="004A50D0">
        <w:rPr>
          <w:rFonts w:ascii="Calibri" w:eastAsia="Calibri" w:hAnsi="Calibri" w:cs="Calibri"/>
          <w:color w:val="000000"/>
          <w:sz w:val="17"/>
          <w:szCs w:val="17"/>
        </w:rPr>
        <w:t>HBRT) can be safely interposed with a standard 25-week CHOP protocol</w:t>
      </w:r>
      <w:r w:rsidR="004A50D0">
        <w:rPr>
          <w:rFonts w:ascii="Calibri" w:eastAsia="Calibri" w:hAnsi="Calibri" w:cs="Calibri"/>
          <w:color w:val="000000"/>
          <w:sz w:val="17"/>
          <w:szCs w:val="17"/>
        </w:rPr>
        <w:t xml:space="preserve">, </w:t>
      </w:r>
      <w:r w:rsidRPr="004A50D0">
        <w:rPr>
          <w:rFonts w:ascii="Calibri" w:eastAsia="Calibri" w:hAnsi="Calibri" w:cs="Calibri"/>
          <w:color w:val="000000"/>
          <w:sz w:val="17"/>
          <w:szCs w:val="17"/>
        </w:rPr>
        <w:t xml:space="preserve">delivering </w:t>
      </w:r>
      <w:r w:rsidR="004A50D0" w:rsidRPr="004A50D0">
        <w:rPr>
          <w:rFonts w:ascii="Calibri" w:eastAsia="Calibri" w:hAnsi="Calibri" w:cs="Calibri"/>
          <w:color w:val="000000"/>
          <w:sz w:val="17"/>
          <w:szCs w:val="17"/>
        </w:rPr>
        <w:t xml:space="preserve">up to </w:t>
      </w:r>
      <w:r w:rsidRPr="004A50D0">
        <w:rPr>
          <w:rFonts w:ascii="Calibri" w:eastAsia="Calibri" w:hAnsi="Calibri" w:cs="Calibri"/>
          <w:color w:val="000000"/>
          <w:sz w:val="17"/>
          <w:szCs w:val="17"/>
        </w:rPr>
        <w:t>8 Gy per body half (two 4 Gy fractions) using a ring-gantry linac (</w:t>
      </w:r>
      <w:proofErr w:type="spellStart"/>
      <w:r w:rsidR="004A50D0">
        <w:rPr>
          <w:rFonts w:ascii="Calibri" w:eastAsia="Calibri" w:hAnsi="Calibri" w:cs="Calibri"/>
          <w:color w:val="000000"/>
          <w:sz w:val="17"/>
          <w:szCs w:val="17"/>
        </w:rPr>
        <w:t>Radixact</w:t>
      </w:r>
      <w:proofErr w:type="spellEnd"/>
      <w:r w:rsidR="004A50D0">
        <w:rPr>
          <w:rFonts w:ascii="Calibri" w:eastAsia="Calibri" w:hAnsi="Calibri" w:cs="Calibri"/>
          <w:color w:val="000000"/>
          <w:sz w:val="17"/>
          <w:szCs w:val="17"/>
        </w:rPr>
        <w:t xml:space="preserve"> by Accuray, formerly </w:t>
      </w:r>
      <w:proofErr w:type="spellStart"/>
      <w:r w:rsidR="004A50D0">
        <w:rPr>
          <w:rFonts w:ascii="Calibri" w:eastAsia="Calibri" w:hAnsi="Calibri" w:cs="Calibri"/>
          <w:color w:val="000000"/>
          <w:sz w:val="17"/>
          <w:szCs w:val="17"/>
        </w:rPr>
        <w:t>TomoTherapy</w:t>
      </w:r>
      <w:proofErr w:type="spellEnd"/>
      <w:r w:rsidRPr="004A50D0">
        <w:rPr>
          <w:rFonts w:ascii="Calibri" w:eastAsia="Calibri" w:hAnsi="Calibri" w:cs="Calibri"/>
          <w:color w:val="000000"/>
          <w:sz w:val="17"/>
          <w:szCs w:val="17"/>
        </w:rPr>
        <w:t xml:space="preserve">). </w:t>
      </w:r>
    </w:p>
    <w:p w14:paraId="03831947" w14:textId="09DE0EE1" w:rsidR="004A50D0" w:rsidRPr="004A50D0" w:rsidRDefault="004A50D0" w:rsidP="004A50D0">
      <w:pPr>
        <w:pStyle w:val="ListParagraph"/>
        <w:numPr>
          <w:ilvl w:val="0"/>
          <w:numId w:val="2"/>
        </w:numPr>
        <w:spacing w:after="80"/>
      </w:pPr>
      <w:r w:rsidRPr="004A50D0">
        <w:rPr>
          <w:rFonts w:ascii="Calibri" w:eastAsia="Calibri" w:hAnsi="Calibri" w:cs="Calibri"/>
          <w:color w:val="000000"/>
          <w:sz w:val="17"/>
          <w:szCs w:val="17"/>
        </w:rPr>
        <w:t xml:space="preserve">Not only will this study determine whether HDR-HBRT can be safely delivered at a high dose rate of 850 </w:t>
      </w:r>
      <w:proofErr w:type="spellStart"/>
      <w:r w:rsidRPr="004A50D0">
        <w:rPr>
          <w:rFonts w:ascii="Calibri" w:eastAsia="Calibri" w:hAnsi="Calibri" w:cs="Calibri"/>
          <w:color w:val="000000"/>
          <w:sz w:val="17"/>
          <w:szCs w:val="17"/>
        </w:rPr>
        <w:t>cGy</w:t>
      </w:r>
      <w:proofErr w:type="spellEnd"/>
      <w:r w:rsidRPr="004A50D0">
        <w:rPr>
          <w:rFonts w:ascii="Calibri" w:eastAsia="Calibri" w:hAnsi="Calibri" w:cs="Calibri"/>
          <w:color w:val="000000"/>
          <w:sz w:val="17"/>
          <w:szCs w:val="17"/>
        </w:rPr>
        <w:t xml:space="preserve">/min, </w:t>
      </w:r>
      <w:r>
        <w:rPr>
          <w:rFonts w:ascii="Calibri" w:eastAsia="Calibri" w:hAnsi="Calibri" w:cs="Calibri"/>
          <w:color w:val="000000"/>
          <w:sz w:val="17"/>
          <w:szCs w:val="17"/>
        </w:rPr>
        <w:t xml:space="preserve">our findings </w:t>
      </w:r>
      <w:r w:rsidRPr="004A50D0">
        <w:rPr>
          <w:rFonts w:ascii="Calibri" w:eastAsia="Calibri" w:hAnsi="Calibri" w:cs="Calibri"/>
          <w:color w:val="000000"/>
          <w:sz w:val="17"/>
          <w:szCs w:val="17"/>
        </w:rPr>
        <w:t>will also be applicable to the increasingly common Halcyon</w:t>
      </w:r>
      <w:r>
        <w:rPr>
          <w:rFonts w:ascii="Calibri" w:eastAsia="Calibri" w:hAnsi="Calibri" w:cs="Calibri"/>
          <w:color w:val="000000"/>
          <w:sz w:val="17"/>
          <w:szCs w:val="17"/>
        </w:rPr>
        <w:t xml:space="preserve"> ring-gantry linac by Varian, which has a similarly high and fixed dose rate of 800 </w:t>
      </w:r>
      <w:proofErr w:type="spellStart"/>
      <w:r>
        <w:rPr>
          <w:rFonts w:ascii="Calibri" w:eastAsia="Calibri" w:hAnsi="Calibri" w:cs="Calibri"/>
          <w:color w:val="000000"/>
          <w:sz w:val="17"/>
          <w:szCs w:val="17"/>
        </w:rPr>
        <w:t>cGy</w:t>
      </w:r>
      <w:proofErr w:type="spellEnd"/>
      <w:r>
        <w:rPr>
          <w:rFonts w:ascii="Calibri" w:eastAsia="Calibri" w:hAnsi="Calibri" w:cs="Calibri"/>
          <w:color w:val="000000"/>
          <w:sz w:val="17"/>
          <w:szCs w:val="17"/>
        </w:rPr>
        <w:t>/min.</w:t>
      </w:r>
    </w:p>
    <w:p w14:paraId="3E6C7E32" w14:textId="6DEC2253" w:rsidR="00516E92" w:rsidRDefault="004A50D0" w:rsidP="004A50D0">
      <w:pPr>
        <w:pStyle w:val="ListParagraph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color w:val="000000"/>
          <w:sz w:val="17"/>
          <w:szCs w:val="17"/>
        </w:rPr>
        <w:t>This</w:t>
      </w:r>
      <w:r w:rsidRPr="004A50D0">
        <w:rPr>
          <w:rFonts w:ascii="Calibri" w:eastAsia="Calibri" w:hAnsi="Calibri" w:cs="Calibri"/>
          <w:color w:val="000000"/>
          <w:sz w:val="17"/>
          <w:szCs w:val="17"/>
        </w:rPr>
        <w:t xml:space="preserve"> </w:t>
      </w:r>
      <w:r w:rsidR="00000000" w:rsidRPr="004A50D0">
        <w:rPr>
          <w:rFonts w:ascii="Calibri" w:eastAsia="Calibri" w:hAnsi="Calibri" w:cs="Calibri"/>
          <w:color w:val="000000"/>
          <w:sz w:val="17"/>
          <w:szCs w:val="17"/>
        </w:rPr>
        <w:t>addresses a gap left by prior HBRT studies, which used only C-arm linacs</w:t>
      </w:r>
      <w:r>
        <w:rPr>
          <w:rFonts w:ascii="Calibri" w:eastAsia="Calibri" w:hAnsi="Calibri" w:cs="Calibri"/>
          <w:color w:val="000000"/>
          <w:sz w:val="17"/>
          <w:szCs w:val="17"/>
        </w:rPr>
        <w:t xml:space="preserve"> with low dose rates</w:t>
      </w:r>
      <w:r w:rsidR="005F6BE2">
        <w:rPr>
          <w:rFonts w:ascii="Calibri" w:eastAsia="Calibri" w:hAnsi="Calibri" w:cs="Calibri"/>
          <w:color w:val="000000"/>
          <w:sz w:val="17"/>
          <w:szCs w:val="17"/>
        </w:rPr>
        <w:t>,</w:t>
      </w:r>
      <w:r w:rsidR="00F8318E">
        <w:rPr>
          <w:rFonts w:ascii="Calibri" w:eastAsia="Calibri" w:hAnsi="Calibri" w:cs="Calibri"/>
          <w:color w:val="000000"/>
          <w:sz w:val="17"/>
          <w:szCs w:val="17"/>
        </w:rPr>
        <w:t xml:space="preserve"> </w:t>
      </w:r>
      <w:r w:rsidR="002D609F">
        <w:rPr>
          <w:rFonts w:ascii="Calibri" w:eastAsia="Calibri" w:hAnsi="Calibri" w:cs="Calibri"/>
          <w:color w:val="000000"/>
          <w:sz w:val="17"/>
          <w:szCs w:val="17"/>
        </w:rPr>
        <w:t>ranging from</w:t>
      </w:r>
      <w:r w:rsidR="00F8318E">
        <w:rPr>
          <w:rFonts w:ascii="Calibri" w:eastAsia="Calibri" w:hAnsi="Calibri" w:cs="Calibri"/>
          <w:color w:val="000000"/>
          <w:sz w:val="17"/>
          <w:szCs w:val="17"/>
        </w:rPr>
        <w:t xml:space="preserve"> 8</w:t>
      </w:r>
      <w:r w:rsidR="00C36C14">
        <w:rPr>
          <w:rFonts w:ascii="Calibri" w:eastAsia="Calibri" w:hAnsi="Calibri" w:cs="Calibri"/>
          <w:color w:val="000000"/>
          <w:sz w:val="17"/>
          <w:szCs w:val="17"/>
        </w:rPr>
        <w:t xml:space="preserve"> to 267 </w:t>
      </w:r>
      <w:proofErr w:type="spellStart"/>
      <w:r w:rsidR="00C36C14">
        <w:rPr>
          <w:rFonts w:ascii="Calibri" w:eastAsia="Calibri" w:hAnsi="Calibri" w:cs="Calibri"/>
          <w:color w:val="000000"/>
          <w:sz w:val="17"/>
          <w:szCs w:val="17"/>
        </w:rPr>
        <w:t>cGy</w:t>
      </w:r>
      <w:proofErr w:type="spellEnd"/>
      <w:r w:rsidR="00C36C14">
        <w:rPr>
          <w:rFonts w:ascii="Calibri" w:eastAsia="Calibri" w:hAnsi="Calibri" w:cs="Calibri"/>
          <w:color w:val="000000"/>
          <w:sz w:val="17"/>
          <w:szCs w:val="17"/>
        </w:rPr>
        <w:t>/min</w:t>
      </w:r>
      <w:r w:rsidR="00000000" w:rsidRPr="004A50D0">
        <w:rPr>
          <w:rFonts w:ascii="Calibri" w:eastAsia="Calibri" w:hAnsi="Calibri" w:cs="Calibri"/>
          <w:color w:val="000000"/>
          <w:sz w:val="17"/>
          <w:szCs w:val="17"/>
        </w:rPr>
        <w:t>.</w:t>
      </w:r>
    </w:p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0"/>
        <w:gridCol w:w="5500"/>
      </w:tblGrid>
      <w:tr w:rsidR="00516E92" w14:paraId="5F9D7921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322558" w14:textId="77777777" w:rsidR="00516E9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INCLUSION CRITERIA</w:t>
            </w:r>
          </w:p>
          <w:p w14:paraId="15CF915D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Currently undergoing standard CHOP chemotherapy</w:t>
            </w:r>
          </w:p>
          <w:p w14:paraId="570861F1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Confirmed, treatment-naïve multicentric lymphoma</w:t>
            </w:r>
          </w:p>
          <w:p w14:paraId="77A24D7D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Large cell, Stage III or higher</w:t>
            </w:r>
          </w:p>
          <w:p w14:paraId="2883A6AD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Either immunophenotype (B-cell or T-cell)</w:t>
            </w:r>
          </w:p>
          <w:p w14:paraId="5D9E14D6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Partial or complete remission after 2 of 4 CHOP cycles</w:t>
            </w:r>
          </w:p>
          <w:p w14:paraId="1492355B" w14:textId="77777777" w:rsidR="00516E92" w:rsidRDefault="00000000">
            <w:pPr>
              <w:spacing w:before="60" w:after="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EXCLUSION CRITERIA</w:t>
            </w:r>
          </w:p>
          <w:p w14:paraId="48158ED8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Progressive disease after 2 CHOP cycles</w:t>
            </w:r>
          </w:p>
          <w:p w14:paraId="7E15C371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Comorbidities precluding safe general anesthesia</w:t>
            </w:r>
          </w:p>
          <w:p w14:paraId="23F7B120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Comorbidities precluding standard CHOP chemotherapy</w:t>
            </w:r>
          </w:p>
        </w:tc>
        <w:tc>
          <w:tcPr>
            <w:tcW w:w="5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2E1D4" w14:textId="77777777" w:rsidR="00516E92" w:rsidRDefault="00000000">
            <w:p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STUDY DESIGN</w:t>
            </w:r>
          </w:p>
          <w:p w14:paraId="36AE6D9D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3+3 dose escalation: 3 dogs per level (2.5 → 3.5 → 4 Gy/fraction)</w:t>
            </w:r>
          </w:p>
          <w:p w14:paraId="5CAFF394" w14:textId="373A611C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Target cumulative dose: 8 Gy per half-body (2 fractions</w:t>
            </w:r>
            <w:r w:rsidR="005F6BE2">
              <w:rPr>
                <w:rFonts w:ascii="Calibri" w:eastAsia="Calibri" w:hAnsi="Calibri" w:cs="Calibri"/>
                <w:sz w:val="17"/>
                <w:szCs w:val="17"/>
              </w:rPr>
              <w:t xml:space="preserve"> of 4 Gy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)</w:t>
            </w:r>
          </w:p>
          <w:p w14:paraId="1846A4E8" w14:textId="3563E9B6" w:rsidR="0071485C" w:rsidRPr="0071485C" w:rsidRDefault="0071485C" w:rsidP="0071485C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Toxicity graded via VCOG-CTCAE v2 &amp; VRTOG v2</w:t>
            </w:r>
          </w:p>
          <w:p w14:paraId="652062E9" w14:textId="2CE64089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Dose-limiting event → </w:t>
            </w:r>
            <w:r w:rsidR="00C36C14">
              <w:rPr>
                <w:rFonts w:ascii="Calibri" w:eastAsia="Calibri" w:hAnsi="Calibri" w:cs="Calibri"/>
                <w:sz w:val="17"/>
                <w:szCs w:val="17"/>
              </w:rPr>
              <w:t xml:space="preserve">enroll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3 </w:t>
            </w:r>
            <w:r w:rsidR="00C36C14">
              <w:rPr>
                <w:rFonts w:ascii="Calibri" w:eastAsia="Calibri" w:hAnsi="Calibri" w:cs="Calibri"/>
                <w:sz w:val="17"/>
                <w:szCs w:val="17"/>
              </w:rPr>
              <w:t xml:space="preserve">additional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dogs at same level; 2+ DLEs → level deemed intolerable</w:t>
            </w:r>
          </w:p>
          <w:p w14:paraId="7F69CBF0" w14:textId="52816605" w:rsidR="00516E92" w:rsidRDefault="00000000">
            <w:pPr>
              <w:spacing w:before="60" w:after="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RADIATION VISIT (</w:t>
            </w:r>
            <w:r w:rsidR="00C36C14"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2 visits </w:t>
            </w: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per half-body</w:t>
            </w:r>
            <w:r w:rsidR="00C36C14"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, 4 visits total</w:t>
            </w: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)</w:t>
            </w:r>
          </w:p>
          <w:p w14:paraId="6E1E1829" w14:textId="37B62D63" w:rsidR="005F6BE2" w:rsidRPr="002405D8" w:rsidRDefault="00000000" w:rsidP="002405D8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 w:rsidR="005F6BE2">
              <w:rPr>
                <w:rFonts w:ascii="Calibri" w:eastAsia="Calibri" w:hAnsi="Calibri" w:cs="Calibri"/>
                <w:sz w:val="17"/>
                <w:szCs w:val="17"/>
              </w:rPr>
              <w:t xml:space="preserve">Day 1: </w:t>
            </w:r>
            <w:r w:rsidR="002405D8">
              <w:rPr>
                <w:rFonts w:ascii="Calibri" w:eastAsia="Calibri" w:hAnsi="Calibri" w:cs="Calibri"/>
                <w:sz w:val="17"/>
                <w:szCs w:val="17"/>
              </w:rPr>
              <w:t xml:space="preserve">Radiation plan is </w:t>
            </w:r>
            <w:r w:rsidR="005F6BE2">
              <w:rPr>
                <w:rFonts w:ascii="Calibri" w:eastAsia="Calibri" w:hAnsi="Calibri" w:cs="Calibri"/>
                <w:sz w:val="17"/>
                <w:szCs w:val="17"/>
              </w:rPr>
              <w:t xml:space="preserve">generated and delivered under the same </w:t>
            </w:r>
            <w:r w:rsidR="00F8318E">
              <w:rPr>
                <w:rFonts w:ascii="Calibri" w:eastAsia="Calibri" w:hAnsi="Calibri" w:cs="Calibri"/>
                <w:sz w:val="17"/>
                <w:szCs w:val="17"/>
              </w:rPr>
              <w:t xml:space="preserve">general </w:t>
            </w:r>
            <w:r w:rsidR="005F6BE2">
              <w:rPr>
                <w:rFonts w:ascii="Calibri" w:eastAsia="Calibri" w:hAnsi="Calibri" w:cs="Calibri"/>
                <w:sz w:val="17"/>
                <w:szCs w:val="17"/>
              </w:rPr>
              <w:t xml:space="preserve">anesthesia event </w:t>
            </w:r>
            <w:r w:rsidR="002405D8">
              <w:rPr>
                <w:rFonts w:ascii="Calibri" w:eastAsia="Calibri" w:hAnsi="Calibri" w:cs="Calibri"/>
                <w:sz w:val="17"/>
                <w:szCs w:val="17"/>
              </w:rPr>
              <w:t>— ~30–</w:t>
            </w:r>
            <w:r w:rsidR="002405D8">
              <w:rPr>
                <w:rFonts w:ascii="Calibri" w:eastAsia="Calibri" w:hAnsi="Calibri" w:cs="Calibri"/>
                <w:sz w:val="17"/>
                <w:szCs w:val="17"/>
              </w:rPr>
              <w:t>60</w:t>
            </w:r>
            <w:r w:rsidR="002405D8">
              <w:rPr>
                <w:rFonts w:ascii="Calibri" w:eastAsia="Calibri" w:hAnsi="Calibri" w:cs="Calibri"/>
                <w:sz w:val="17"/>
                <w:szCs w:val="17"/>
              </w:rPr>
              <w:t xml:space="preserve"> min total</w:t>
            </w:r>
          </w:p>
          <w:p w14:paraId="229C4205" w14:textId="494E9563" w:rsidR="0071485C" w:rsidRPr="0071485C" w:rsidRDefault="00000000" w:rsidP="0071485C">
            <w:pPr>
              <w:spacing w:after="20"/>
              <w:ind w:left="200" w:hanging="13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D</w:t>
            </w:r>
            <w:r w:rsidR="002405D8">
              <w:rPr>
                <w:rFonts w:ascii="Calibri" w:eastAsia="Calibri" w:hAnsi="Calibri" w:cs="Calibri"/>
                <w:sz w:val="17"/>
                <w:szCs w:val="17"/>
              </w:rPr>
              <w:t xml:space="preserve">ay 2: </w:t>
            </w:r>
            <w:r w:rsidR="00F8318E">
              <w:rPr>
                <w:rFonts w:ascii="Calibri" w:eastAsia="Calibri" w:hAnsi="Calibri" w:cs="Calibri"/>
                <w:sz w:val="17"/>
                <w:szCs w:val="17"/>
              </w:rPr>
              <w:t>Using plan made on day 1, radiation is delivered under general anesthesia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— ~30–45 min total</w:t>
            </w:r>
          </w:p>
        </w:tc>
      </w:tr>
    </w:tbl>
    <w:p w14:paraId="373CD37C" w14:textId="77777777" w:rsidR="00516E92" w:rsidRDefault="00000000">
      <w:pPr>
        <w:pBdr>
          <w:bottom w:val="single" w:sz="6" w:space="2" w:color="1F3864"/>
        </w:pBdr>
        <w:spacing w:before="120" w:after="40"/>
      </w:pPr>
      <w:r>
        <w:rPr>
          <w:rFonts w:ascii="Calibri" w:eastAsia="Calibri" w:hAnsi="Calibri" w:cs="Calibri"/>
          <w:b/>
          <w:bCs/>
          <w:color w:val="1F3864"/>
          <w:sz w:val="18"/>
          <w:szCs w:val="18"/>
        </w:rPr>
        <w:t>TREATMENT SCHEDULE (INTERPOSED WITH CHOP-25)</w:t>
      </w:r>
    </w:p>
    <w:p w14:paraId="533A3BF9" w14:textId="77777777" w:rsidR="002D609F" w:rsidRDefault="00000000" w:rsidP="002D609F">
      <w:pPr>
        <w:pStyle w:val="ListParagraph"/>
        <w:numPr>
          <w:ilvl w:val="0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 w:rsidRPr="002D609F">
        <w:rPr>
          <w:rFonts w:ascii="Calibri" w:eastAsia="Calibri" w:hAnsi="Calibri" w:cs="Calibri"/>
          <w:color w:val="000000"/>
          <w:sz w:val="17"/>
          <w:szCs w:val="17"/>
        </w:rPr>
        <w:t xml:space="preserve">Enroll at week 9 (after 2 CHOP cycles + </w:t>
      </w:r>
      <w:r w:rsidR="002D609F">
        <w:rPr>
          <w:rFonts w:ascii="Calibri" w:eastAsia="Calibri" w:hAnsi="Calibri" w:cs="Calibri"/>
          <w:color w:val="000000"/>
          <w:sz w:val="17"/>
          <w:szCs w:val="17"/>
        </w:rPr>
        <w:t xml:space="preserve">partial or complete </w:t>
      </w:r>
      <w:r w:rsidRPr="002D609F">
        <w:rPr>
          <w:rFonts w:ascii="Calibri" w:eastAsia="Calibri" w:hAnsi="Calibri" w:cs="Calibri"/>
          <w:color w:val="000000"/>
          <w:sz w:val="17"/>
          <w:szCs w:val="17"/>
        </w:rPr>
        <w:t xml:space="preserve">remission confirmed). </w:t>
      </w:r>
    </w:p>
    <w:p w14:paraId="4C2AAF62" w14:textId="77777777" w:rsidR="002D609F" w:rsidRDefault="00000000" w:rsidP="002D609F">
      <w:pPr>
        <w:pStyle w:val="ListParagraph"/>
        <w:numPr>
          <w:ilvl w:val="0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 w:rsidRPr="002D609F">
        <w:rPr>
          <w:rFonts w:ascii="Calibri" w:eastAsia="Calibri" w:hAnsi="Calibri" w:cs="Calibri"/>
          <w:color w:val="000000"/>
          <w:sz w:val="17"/>
          <w:szCs w:val="17"/>
        </w:rPr>
        <w:t xml:space="preserve">Cranial half-body radiation: week 11 (2 consecutive daily fractions). CHOP resumes 1 week later. </w:t>
      </w:r>
    </w:p>
    <w:p w14:paraId="6A258400" w14:textId="65BF1F34" w:rsidR="002D609F" w:rsidRDefault="00000000" w:rsidP="002D609F">
      <w:pPr>
        <w:pStyle w:val="ListParagraph"/>
        <w:numPr>
          <w:ilvl w:val="0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 w:rsidRPr="002D609F">
        <w:rPr>
          <w:rFonts w:ascii="Calibri" w:eastAsia="Calibri" w:hAnsi="Calibri" w:cs="Calibri"/>
          <w:color w:val="000000"/>
          <w:sz w:val="17"/>
          <w:szCs w:val="17"/>
        </w:rPr>
        <w:t xml:space="preserve">Caudal half-body radiation: week 15 (2 consecutive daily fractions). </w:t>
      </w:r>
      <w:r w:rsidR="005F6BE2" w:rsidRPr="002D609F">
        <w:rPr>
          <w:rFonts w:ascii="Calibri" w:eastAsia="Calibri" w:hAnsi="Calibri" w:cs="Calibri"/>
          <w:color w:val="000000"/>
          <w:sz w:val="17"/>
          <w:szCs w:val="17"/>
        </w:rPr>
        <w:t>CHOP resumes 1 week later.</w:t>
      </w:r>
    </w:p>
    <w:p w14:paraId="2140339B" w14:textId="77777777" w:rsidR="005F6BE2" w:rsidRDefault="00000000" w:rsidP="002D609F">
      <w:pPr>
        <w:pStyle w:val="ListParagraph"/>
        <w:numPr>
          <w:ilvl w:val="0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 w:rsidRPr="002D609F">
        <w:rPr>
          <w:rFonts w:ascii="Calibri" w:eastAsia="Calibri" w:hAnsi="Calibri" w:cs="Calibri"/>
          <w:color w:val="000000"/>
          <w:sz w:val="17"/>
          <w:szCs w:val="17"/>
        </w:rPr>
        <w:t xml:space="preserve">One-week break flanks each chemo/radiation treatment through the remainder of CHOP-25. </w:t>
      </w:r>
    </w:p>
    <w:p w14:paraId="338A167D" w14:textId="701CF06B" w:rsidR="00516E92" w:rsidRDefault="00000000" w:rsidP="002D609F">
      <w:pPr>
        <w:pStyle w:val="ListParagraph"/>
        <w:numPr>
          <w:ilvl w:val="0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 w:rsidRPr="002D609F">
        <w:rPr>
          <w:rFonts w:ascii="Calibri" w:eastAsia="Calibri" w:hAnsi="Calibri" w:cs="Calibri"/>
          <w:color w:val="000000"/>
          <w:sz w:val="17"/>
          <w:szCs w:val="17"/>
        </w:rPr>
        <w:t>Dose escalation to the next level occurs once 3 dogs complete all 29 weeks without a dose-limiting event.</w:t>
      </w:r>
    </w:p>
    <w:p w14:paraId="1837023C" w14:textId="77777777" w:rsidR="00F8318E" w:rsidRDefault="00F8318E" w:rsidP="00F8318E">
      <w:pPr>
        <w:pStyle w:val="ListParagraph"/>
        <w:numPr>
          <w:ilvl w:val="0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>
        <w:rPr>
          <w:rFonts w:ascii="Calibri" w:eastAsia="Calibri" w:hAnsi="Calibri" w:cs="Calibri"/>
          <w:color w:val="000000"/>
          <w:sz w:val="17"/>
          <w:szCs w:val="17"/>
        </w:rPr>
        <w:t>Dose-limiting event:</w:t>
      </w:r>
    </w:p>
    <w:p w14:paraId="7B53A69F" w14:textId="4B196F6F" w:rsidR="00F8318E" w:rsidRPr="00F8318E" w:rsidRDefault="00F8318E" w:rsidP="00F8318E">
      <w:pPr>
        <w:pStyle w:val="ListParagraph"/>
        <w:numPr>
          <w:ilvl w:val="1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>
        <w:rPr>
          <w:rFonts w:ascii="Calibri" w:eastAsia="Calibri" w:hAnsi="Calibri" w:cs="Calibri"/>
          <w:color w:val="000000"/>
          <w:sz w:val="17"/>
          <w:szCs w:val="17"/>
        </w:rPr>
        <w:t xml:space="preserve">Of </w:t>
      </w:r>
      <w:r w:rsidRPr="00F8318E">
        <w:rPr>
          <w:rFonts w:ascii="Calibri" w:eastAsia="Calibri" w:hAnsi="Calibri" w:cs="Calibri"/>
          <w:color w:val="000000"/>
          <w:sz w:val="17"/>
          <w:szCs w:val="17"/>
        </w:rPr>
        <w:t xml:space="preserve">VRTOG v2, any grade 3 acute radiation morbidity. </w:t>
      </w:r>
    </w:p>
    <w:p w14:paraId="7F283791" w14:textId="6E279DA6" w:rsidR="00F8318E" w:rsidRPr="00F8318E" w:rsidRDefault="00F8318E" w:rsidP="00F8318E">
      <w:pPr>
        <w:pStyle w:val="ListParagraph"/>
        <w:numPr>
          <w:ilvl w:val="1"/>
          <w:numId w:val="2"/>
        </w:numPr>
        <w:spacing w:after="60"/>
        <w:rPr>
          <w:rFonts w:ascii="Calibri" w:eastAsia="Calibri" w:hAnsi="Calibri" w:cs="Calibri"/>
          <w:color w:val="000000"/>
          <w:sz w:val="17"/>
          <w:szCs w:val="17"/>
        </w:rPr>
      </w:pPr>
      <w:r w:rsidRPr="00F8318E">
        <w:rPr>
          <w:rFonts w:ascii="Calibri" w:eastAsia="Calibri" w:hAnsi="Calibri" w:cs="Calibri"/>
          <w:color w:val="000000"/>
          <w:sz w:val="17"/>
          <w:szCs w:val="17"/>
        </w:rPr>
        <w:t>Of the VCOG v2, any grade 3 toxicity</w:t>
      </w:r>
      <w:r w:rsidR="0071485C">
        <w:rPr>
          <w:rFonts w:ascii="Calibri" w:eastAsia="Calibri" w:hAnsi="Calibri" w:cs="Calibri"/>
          <w:color w:val="000000"/>
          <w:sz w:val="17"/>
          <w:szCs w:val="17"/>
        </w:rPr>
        <w:t>.</w:t>
      </w:r>
      <w:r w:rsidRPr="00F8318E">
        <w:rPr>
          <w:rFonts w:ascii="Calibri" w:eastAsia="Calibri" w:hAnsi="Calibri" w:cs="Calibri"/>
          <w:color w:val="000000"/>
          <w:sz w:val="17"/>
          <w:szCs w:val="17"/>
        </w:rPr>
        <w:t xml:space="preserve"> </w:t>
      </w:r>
      <w:r w:rsidR="0071485C">
        <w:rPr>
          <w:rFonts w:ascii="Calibri" w:eastAsia="Calibri" w:hAnsi="Calibri" w:cs="Calibri"/>
          <w:color w:val="000000"/>
          <w:sz w:val="17"/>
          <w:szCs w:val="17"/>
        </w:rPr>
        <w:t xml:space="preserve">Exception: in the </w:t>
      </w:r>
      <w:r w:rsidRPr="00F8318E">
        <w:rPr>
          <w:rFonts w:ascii="Calibri" w:eastAsia="Calibri" w:hAnsi="Calibri" w:cs="Calibri"/>
          <w:color w:val="000000"/>
          <w:sz w:val="17"/>
          <w:szCs w:val="17"/>
        </w:rPr>
        <w:t xml:space="preserve">bone marrow </w:t>
      </w:r>
      <w:r w:rsidR="0071485C">
        <w:rPr>
          <w:rFonts w:ascii="Calibri" w:eastAsia="Calibri" w:hAnsi="Calibri" w:cs="Calibri"/>
          <w:color w:val="000000"/>
          <w:sz w:val="17"/>
          <w:szCs w:val="17"/>
        </w:rPr>
        <w:t xml:space="preserve">category, </w:t>
      </w:r>
      <w:r w:rsidRPr="00F8318E">
        <w:rPr>
          <w:rFonts w:ascii="Calibri" w:eastAsia="Calibri" w:hAnsi="Calibri" w:cs="Calibri"/>
          <w:color w:val="000000"/>
          <w:sz w:val="17"/>
          <w:szCs w:val="17"/>
        </w:rPr>
        <w:t>grade 4 toxicity leading to hospitalization or treatment delay is considered dose-limiting.</w:t>
      </w:r>
    </w:p>
    <w:p w14:paraId="329E40A9" w14:textId="77777777" w:rsidR="004A50D0" w:rsidRDefault="004A50D0">
      <w:pPr>
        <w:spacing w:after="60"/>
      </w:pPr>
    </w:p>
    <w:p w14:paraId="538D761A" w14:textId="77777777" w:rsidR="00516E92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328F9379" wp14:editId="491944E6">
            <wp:extent cx="5829300" cy="173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D7CD2" w14:textId="77777777" w:rsidR="004A50D0" w:rsidRDefault="004A50D0">
      <w:pPr>
        <w:spacing w:after="100"/>
        <w:jc w:val="center"/>
      </w:pPr>
    </w:p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0"/>
        <w:gridCol w:w="5300"/>
      </w:tblGrid>
      <w:tr w:rsidR="00516E92" w14:paraId="76F864AF" w14:textId="77777777">
        <w:tblPrEx>
          <w:tblCellMar>
            <w:top w:w="0" w:type="dxa"/>
            <w:bottom w:w="0" w:type="dxa"/>
          </w:tblCellMar>
        </w:tblPrEx>
        <w:tc>
          <w:tcPr>
            <w:tcW w:w="5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8A23A" w14:textId="77777777" w:rsidR="00516E92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COST — WHAT'S COVERED BY THE STUDY</w:t>
            </w:r>
          </w:p>
          <w:tbl>
            <w:tblPr>
              <w:tblW w:w="53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50"/>
              <w:gridCol w:w="2650"/>
            </w:tblGrid>
            <w:tr w:rsidR="00516E92" w14:paraId="42C1036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CE6F1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17482A9" w14:textId="77777777" w:rsidR="00516E92" w:rsidRDefault="00000000"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</w:rPr>
                    <w:t>Study Covers</w:t>
                  </w:r>
                </w:p>
              </w:tc>
              <w:tc>
                <w:tcPr>
                  <w:tcW w:w="26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CE6F1"/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DC53CF9" w14:textId="77777777" w:rsidR="00516E92" w:rsidRDefault="00000000"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</w:rPr>
                    <w:t>Owner Pays</w:t>
                  </w:r>
                </w:p>
              </w:tc>
            </w:tr>
            <w:tr w:rsidR="00516E92" w14:paraId="109CF82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1ACA831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Radiation treatments (~$3,000/pt)</w:t>
                  </w:r>
                </w:p>
                <w:p w14:paraId="57BD197F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Anesthesia for radiation</w:t>
                  </w:r>
                </w:p>
                <w:p w14:paraId="0C87F1BD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Boarding for radiation (if needed)</w:t>
                  </w:r>
                </w:p>
                <w:p w14:paraId="5651868C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2 CBCs, 2 chem panels, 2 UAs</w:t>
                  </w:r>
                </w:p>
              </w:tc>
              <w:tc>
                <w:tcPr>
                  <w:tcW w:w="2650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0A38D1E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CHOP chemotherapy</w:t>
                  </w:r>
                </w:p>
                <w:p w14:paraId="6D696CB8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Routine follow-up visits</w:t>
                  </w:r>
                </w:p>
                <w:p w14:paraId="007CD139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Additional diagnostics/labs</w:t>
                  </w:r>
                </w:p>
                <w:p w14:paraId="4F732D48" w14:textId="77777777" w:rsidR="00516E92" w:rsidRDefault="00000000">
                  <w:pPr>
                    <w:spacing w:after="20"/>
                    <w:ind w:left="200" w:hanging="13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F3864"/>
                      <w:sz w:val="17"/>
                      <w:szCs w:val="17"/>
                    </w:rPr>
                    <w:t xml:space="preserve">• </w:t>
                  </w:r>
                  <w:r>
                    <w:rPr>
                      <w:rFonts w:ascii="Calibri" w:eastAsia="Calibri" w:hAnsi="Calibri" w:cs="Calibri"/>
                      <w:sz w:val="15"/>
                      <w:szCs w:val="15"/>
                    </w:rPr>
                    <w:t>Adverse event treatment; other costs</w:t>
                  </w:r>
                </w:p>
              </w:tc>
            </w:tr>
          </w:tbl>
          <w:p w14:paraId="70E7C82D" w14:textId="77777777" w:rsidR="00516E92" w:rsidRDefault="00000000">
            <w:pPr>
              <w:spacing w:before="60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5"/>
                <w:szCs w:val="15"/>
              </w:rPr>
              <w:t>Study cost per patient: ~$</w:t>
            </w:r>
            <w:proofErr w:type="gramStart"/>
            <w:r>
              <w:rPr>
                <w:rFonts w:ascii="Calibri" w:eastAsia="Calibri" w:hAnsi="Calibri" w:cs="Calibri"/>
                <w:i/>
                <w:iCs/>
                <w:color w:val="595959"/>
                <w:sz w:val="15"/>
                <w:szCs w:val="15"/>
              </w:rPr>
              <w:t>3,748  |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595959"/>
                <w:sz w:val="15"/>
                <w:szCs w:val="15"/>
              </w:rPr>
              <w:t xml:space="preserve">  Budget: $33,733 (9 pts) / $67,467 (18 pts)</w:t>
            </w:r>
          </w:p>
        </w:tc>
        <w:tc>
          <w:tcPr>
            <w:tcW w:w="5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F75D6A" w14:textId="77777777" w:rsidR="00516E92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>ENROLLMENT INSTRUCTIONS</w:t>
            </w:r>
          </w:p>
          <w:p w14:paraId="5AC750BF" w14:textId="72CF963B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Identify candidates at week 9 of CHOP (2 cycles in, </w:t>
            </w:r>
            <w:r w:rsidR="00F8318E">
              <w:rPr>
                <w:rFonts w:ascii="Calibri" w:eastAsia="Calibri" w:hAnsi="Calibri" w:cs="Calibri"/>
                <w:sz w:val="17"/>
                <w:szCs w:val="17"/>
              </w:rPr>
              <w:t xml:space="preserve">partial or complete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remission confirmed)</w:t>
            </w:r>
          </w:p>
          <w:p w14:paraId="2B7193CB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Confirm inclusion/exclusion criteria above</w:t>
            </w:r>
          </w:p>
          <w:p w14:paraId="3F3F9582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Review and sign Study Consent Form with owner</w:t>
            </w:r>
          </w:p>
          <w:p w14:paraId="05577000" w14:textId="77777777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Schedule cranial HBRT for week 11, caudal for week 15</w:t>
            </w:r>
          </w:p>
          <w:p w14:paraId="06706654" w14:textId="2CDF75D0" w:rsidR="00516E92" w:rsidRDefault="00000000">
            <w:pPr>
              <w:spacing w:after="20"/>
              <w:ind w:left="200" w:hanging="13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7"/>
                <w:szCs w:val="17"/>
              </w:rPr>
              <w:t xml:space="preserve">•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Contact </w:t>
            </w:r>
            <w:r w:rsidR="00F8318E">
              <w:rPr>
                <w:rFonts w:ascii="Calibri" w:eastAsia="Calibri" w:hAnsi="Calibri" w:cs="Calibri"/>
                <w:sz w:val="17"/>
                <w:szCs w:val="17"/>
              </w:rPr>
              <w:t>the team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with questions or to refer a case:</w:t>
            </w:r>
          </w:p>
          <w:p w14:paraId="21124C14" w14:textId="77777777" w:rsidR="00516E92" w:rsidRDefault="00000000">
            <w:pPr>
              <w:spacing w:before="40"/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>radonc@vetmed.wisc.edu  •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1F3864"/>
                <w:sz w:val="16"/>
                <w:szCs w:val="16"/>
              </w:rPr>
              <w:t xml:space="preserve">  608-263-7600</w:t>
            </w:r>
          </w:p>
          <w:p w14:paraId="55FD7182" w14:textId="77777777" w:rsidR="00516E92" w:rsidRDefault="00000000">
            <w:pPr>
              <w:spacing w:before="40"/>
            </w:pPr>
            <w:r>
              <w:rPr>
                <w:rFonts w:ascii="Calibri" w:eastAsia="Calibri" w:hAnsi="Calibri" w:cs="Calibri"/>
                <w:i/>
                <w:iCs/>
                <w:color w:val="595959"/>
                <w:sz w:val="14"/>
                <w:szCs w:val="14"/>
              </w:rPr>
              <w:t>Note for client conversations: this is a Phase I trial — early groups receive lower radiation doses; benefit to the individual dog cannot be guaranteed, but standard-of-care CHOP is unaffected if they decline.</w:t>
            </w:r>
          </w:p>
        </w:tc>
      </w:tr>
    </w:tbl>
    <w:p w14:paraId="323B9353" w14:textId="77777777" w:rsidR="0091204B" w:rsidRDefault="0091204B"/>
    <w:sectPr w:rsidR="0091204B">
      <w:pgSz w:w="12240" w:h="15840"/>
      <w:pgMar w:top="620" w:right="620" w:bottom="50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504E42"/>
    <w:multiLevelType w:val="hybridMultilevel"/>
    <w:tmpl w:val="F0F0D592"/>
    <w:lvl w:ilvl="0" w:tplc="0444DDA4">
      <w:start w:val="1"/>
      <w:numFmt w:val="bullet"/>
      <w:lvlText w:val="●"/>
      <w:lvlJc w:val="left"/>
      <w:pPr>
        <w:ind w:left="720" w:hanging="360"/>
      </w:pPr>
    </w:lvl>
    <w:lvl w:ilvl="1" w:tplc="8D36EBFC">
      <w:start w:val="1"/>
      <w:numFmt w:val="bullet"/>
      <w:lvlText w:val="○"/>
      <w:lvlJc w:val="left"/>
      <w:pPr>
        <w:ind w:left="1440" w:hanging="360"/>
      </w:pPr>
    </w:lvl>
    <w:lvl w:ilvl="2" w:tplc="CEBEC6B6">
      <w:start w:val="1"/>
      <w:numFmt w:val="bullet"/>
      <w:lvlText w:val="■"/>
      <w:lvlJc w:val="left"/>
      <w:pPr>
        <w:ind w:left="2160" w:hanging="360"/>
      </w:pPr>
    </w:lvl>
    <w:lvl w:ilvl="3" w:tplc="ACBE956C">
      <w:start w:val="1"/>
      <w:numFmt w:val="bullet"/>
      <w:lvlText w:val="●"/>
      <w:lvlJc w:val="left"/>
      <w:pPr>
        <w:ind w:left="2880" w:hanging="360"/>
      </w:pPr>
    </w:lvl>
    <w:lvl w:ilvl="4" w:tplc="D2C6B25C">
      <w:start w:val="1"/>
      <w:numFmt w:val="bullet"/>
      <w:lvlText w:val="○"/>
      <w:lvlJc w:val="left"/>
      <w:pPr>
        <w:ind w:left="3600" w:hanging="360"/>
      </w:pPr>
    </w:lvl>
    <w:lvl w:ilvl="5" w:tplc="E90854A4">
      <w:start w:val="1"/>
      <w:numFmt w:val="bullet"/>
      <w:lvlText w:val="■"/>
      <w:lvlJc w:val="left"/>
      <w:pPr>
        <w:ind w:left="4320" w:hanging="360"/>
      </w:pPr>
    </w:lvl>
    <w:lvl w:ilvl="6" w:tplc="769005FE">
      <w:start w:val="1"/>
      <w:numFmt w:val="bullet"/>
      <w:lvlText w:val="●"/>
      <w:lvlJc w:val="left"/>
      <w:pPr>
        <w:ind w:left="5040" w:hanging="360"/>
      </w:pPr>
    </w:lvl>
    <w:lvl w:ilvl="7" w:tplc="20E8D7DE">
      <w:start w:val="1"/>
      <w:numFmt w:val="bullet"/>
      <w:lvlText w:val="●"/>
      <w:lvlJc w:val="left"/>
      <w:pPr>
        <w:ind w:left="5760" w:hanging="360"/>
      </w:pPr>
    </w:lvl>
    <w:lvl w:ilvl="8" w:tplc="E3A4B32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1F843CD"/>
    <w:multiLevelType w:val="hybridMultilevel"/>
    <w:tmpl w:val="34342878"/>
    <w:lvl w:ilvl="0" w:tplc="BEBCABB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/>
        <w:sz w:val="17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083329">
    <w:abstractNumId w:val="0"/>
    <w:lvlOverride w:ilvl="0">
      <w:startOverride w:val="1"/>
    </w:lvlOverride>
  </w:num>
  <w:num w:numId="2" w16cid:durableId="213563418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92"/>
    <w:rsid w:val="002405D8"/>
    <w:rsid w:val="002D609F"/>
    <w:rsid w:val="004A50D0"/>
    <w:rsid w:val="00516E92"/>
    <w:rsid w:val="00577099"/>
    <w:rsid w:val="005969AE"/>
    <w:rsid w:val="005F6BE2"/>
    <w:rsid w:val="0071485C"/>
    <w:rsid w:val="0091204B"/>
    <w:rsid w:val="00C36C14"/>
    <w:rsid w:val="00F8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E5F05"/>
  <w15:docId w15:val="{4F5C05F2-E159-8941-8BBD-AB82BD7C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Rey Chi</cp:lastModifiedBy>
  <cp:revision>2</cp:revision>
  <dcterms:created xsi:type="dcterms:W3CDTF">2026-07-16T21:36:00Z</dcterms:created>
  <dcterms:modified xsi:type="dcterms:W3CDTF">2026-07-16T21:36:00Z</dcterms:modified>
</cp:coreProperties>
</file>